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О проведении общероссийского дня приема граждан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 xml:space="preserve">14 декабря 2020 года Отделение Пенсионного фонда РФ по Иркутской области примет участие во всероссийском дне приема граждан, который ежегодно проводится государственными и региональными органами власти. 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Прием граждан по предварительной записи будет осуществляться с 12:00 до 20:00 по адресу: г. Иркутск, ул. Декабрьских Событий, 92. Записаться на прием можно до 7 декабря включительно, по телефону 8 (3952) 47-00-00. Кроме того, прием граждан будет проводиться во всех клиентских службах территориальных органов ПФР также по предварительной записи.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Напомним, в соответствии с  указом президента о мерах по санитарно-эпидемиологическому благополучию населения продолжительность приема одного человека ограничена до 15–20 минут, поэтому заявителям рекомендуется заранее подготовить письменный текст своего обращения.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color w:val="000000"/>
          <w:kern w:val="2"/>
          <w:sz w:val="28"/>
          <w:szCs w:val="28"/>
          <w:lang w:val="ru-RU" w:eastAsia="zxx" w:bidi="ar-SA"/>
        </w:rPr>
        <w:t>Важно отметить, что без предварительной записи или в случае пропуска назначенного времени территориальные органы фонда не смогут принять обращение гражданина. Прием также будет невозможен, если у человека повышенная температура или есть другие признаки острого респираторного заболевания: кашель, чихание, насморк и пр. В связи с этим Пенсионный фонд России рекомендует гражданам с плохим самочувствием, а также соблюдающим режим самоизоляции воспользоваться дистанционными способами подачи обращений в Пенсионный фонд.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1</Pages>
  <Words>197</Words>
  <Characters>1359</Characters>
  <CharactersWithSpaces>1550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2020-11-11T18:13:38Z</cp:lastPrinted>
  <dcterms:modified xsi:type="dcterms:W3CDTF">2020-12-04T11:03:35Z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